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</w:rPr>
        <w:t xml:space="preserve">ФИНАНСОВО-ЭКОНОМИЧЕСКОЕ ОБОСНОВАНИЕ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к проекту закона Республики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Хакасия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Об установлении запрета и ограничений продажи безалкогольных тонизирующих напитков (в том числе энергетических) </w:t>
      </w:r>
      <w:r>
        <w:rPr>
          <w:rFonts w:ascii="PT Astra Serif" w:hAnsi="PT Astra Serif" w:eastAsia="PT Astra Serif" w:cs="PT Astra Serif"/>
          <w:sz w:val="26"/>
          <w:szCs w:val="26"/>
        </w:rPr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 территории Республики Хакасия и о внесении изменения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акон Республики Хакасия «Об административных правонарушениях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70"/>
        <w:jc w:val="center"/>
        <w:rPr>
          <w:rFonts w:ascii="PT Astra Serif" w:hAnsi="PT Astra Serif" w:cs="PT Astra Serif"/>
          <w:b w:val="0"/>
          <w:sz w:val="26"/>
          <w:szCs w:val="26"/>
        </w:rPr>
      </w:pPr>
      <w:r>
        <w:rPr>
          <w:rFonts w:ascii="PT Astra Serif" w:hAnsi="PT Astra Serif" w:cs="PT Astra Serif"/>
          <w:b w:val="0"/>
          <w:sz w:val="26"/>
          <w:szCs w:val="26"/>
        </w:rPr>
      </w:r>
      <w:r>
        <w:rPr>
          <w:rFonts w:ascii="PT Astra Serif" w:hAnsi="PT Astra Serif" w:cs="PT Astra Serif"/>
          <w:b w:val="0"/>
          <w:sz w:val="26"/>
          <w:szCs w:val="26"/>
        </w:rPr>
      </w:r>
    </w:p>
    <w:p>
      <w:pPr>
        <w:pStyle w:val="868"/>
        <w:ind w:firstLine="709"/>
        <w:jc w:val="both"/>
        <w:spacing w:before="0" w:line="240" w:lineRule="auto"/>
        <w:tabs>
          <w:tab w:val="left" w:pos="1110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Принятие проекта закона Республики Хакасия «Об установлении запрета и ограничений продажи безалкогольных тонизирующих напитков (в том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числе энергетических) на территории Республики Хакасия и о внесении изменения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bookmarkStart w:id="4" w:name="_GoBack"/>
      <w:r/>
      <w:bookmarkEnd w:id="4"/>
      <w:r>
        <w:rPr>
          <w:rFonts w:ascii="PT Astra Serif" w:hAnsi="PT Astra Serif" w:eastAsia="PT Astra Serif" w:cs="PT Astra Serif"/>
          <w:sz w:val="26"/>
          <w:szCs w:val="26"/>
        </w:rPr>
        <w:t xml:space="preserve">акон Республики Хакасия «Об административных правонарушениях» повлечет дополнительные расходы, выпадающих доходов республиканского бюджета Республики Хакасия.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Статьей 5 Федера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льного закона № 304-ФЗ предусмотрено </w:t>
      </w:r>
      <w:hyperlink r:id="rId9" w:tooltip="https://login.consultant.ru/link/?req=doc&amp;base=LAW&amp;n=482550&amp;dst=100019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пров</w:t>
        </w:r>
        <w:r>
          <w:rPr>
            <w:rFonts w:ascii="PT Astra Serif" w:hAnsi="PT Astra Serif" w:eastAsia="PT Astra Serif" w:cs="PT Astra Serif"/>
            <w:sz w:val="26"/>
            <w:szCs w:val="26"/>
          </w:rPr>
          <w:t xml:space="preserve">едение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регионального государственного контроля (надзора) за соблюдением запретов и ограничений, установленных </w:t>
      </w:r>
      <w:hyperlink r:id="rId10" w:tooltip="https://login.consultant.ru/link/?req=doc&amp;base=LAW&amp;n=482550&amp;dst=100010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статьями 2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- </w:t>
      </w:r>
      <w:hyperlink r:id="rId11" w:tooltip="https://login.consultant.ru/link/?req=doc&amp;base=LAW&amp;n=482550&amp;dst=100015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4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Федерального закона № 304-ФЗ, наделенным исполнительным органом субъекта Российской Федерации, полномочиями высшим исполнительным органом субъекта Российской Федерации на осуществление регионального государственно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го контроля (надзора) в области продажи безалкогольных тонизирующих напитков (в том числе энергетических), что потребует увеличение численности наделенного вышеуказанными полномочиями исполнительного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органа Республики Хакасия не менее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чем на 3 штатные еди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ницы, и дополнительные расходы из республиканского бюджета. В рамках вышеуказанного контроля (надзора) плановые контрольные (надзорные) мероприятия не проводятся.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Региональный государственный контроль будет осуществляться в сфере реализации торговыми точка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ми безалкогольных тонизирующих напитков, в том числе в местах массового скопления людей, спортивных объектах, образовательных и культурных учреждениях, и во время проведения массовых мероприятий.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Общая сумма дополнительных затрат из республиканского бюджет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 на контроль в области продажи безалкогольных тонизирующих напитков (в том числе энергетических) - 2 141 615,01 руб.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Среднемесячная заработная плата, рассчитанная в соответствии со ст.52 Закона Республики Хакасия от 28.02.2006 № 9-ЗРХ «О государственных д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олжностях Республики Хакасия и государственной гражданской службе Республики Хакасия».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Расчет для новых полномочий в области продажи безалкогольных тонизирующих напитков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6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2"/>
        <w:gridCol w:w="1417"/>
        <w:gridCol w:w="801"/>
        <w:gridCol w:w="2047"/>
      </w:tblGrid>
      <w:tr>
        <w:tblPrEx/>
        <w:trPr>
          <w:trHeight w:val="300"/>
        </w:trPr>
        <w:tc>
          <w:tcPr>
            <w:shd w:val="clear" w:color="auto" w:fill="auto"/>
            <w:tcW w:w="5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Оклад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12,00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205 380,00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209"/>
        </w:trPr>
        <w:tc>
          <w:tcPr>
            <w:shd w:val="clear" w:color="auto" w:fill="auto"/>
            <w:tcW w:w="5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Оклад за классный чин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68 460,00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Надбавка за выслугу лет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3,00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51 345,00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Особые условия гражданской службы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14,00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239 610,00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8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Работа со сведениями, составляющими гос. тайну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1,50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25 672,50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97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Премия за выполнение особо важных и сложных заданий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22 762,95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45 525,90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97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Ежемесячное денежное поощрение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22 762,95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24,00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546 310,80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Единовременные выплаты к отпуску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3,00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51 345,00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Итого: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1 233 649,20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с коэффициентом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1 973 838,72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Страховые взносы с ФОТ 30,2%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596 099,29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Годовой фонд (12 месяцев)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2 569 938,01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Итого 3 ставки ведущих советников 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(10 месяцев)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2 141 615,01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</w:tr>
    </w:tbl>
    <w:p>
      <w:pPr>
        <w:pStyle w:val="868"/>
        <w:ind w:firstLine="709"/>
        <w:jc w:val="both"/>
        <w:spacing w:before="0" w:line="240" w:lineRule="auto"/>
        <w:tabs>
          <w:tab w:val="left" w:pos="1110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spacing w:before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spacing w:before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0"/>
        <w:gridCol w:w="2866"/>
      </w:tblGrid>
      <w:tr>
        <w:tblPrEx/>
        <w:trPr/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Министр экономического развития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Республики Хакасия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866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/>
            <w:bookmarkStart w:id="5" w:name="undefined"/>
            <w:r/>
            <w:bookmarkEnd w:id="5"/>
            <w:r/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right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Р.В. Ковтун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077" w:right="851" w:bottom="1021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81"/>
    <w:link w:val="722"/>
    <w:uiPriority w:val="35"/>
    <w:rPr>
      <w:b/>
      <w:bCs/>
      <w:color w:val="4f81bd" w:themeColor="accent1"/>
      <w:sz w:val="18"/>
      <w:szCs w:val="18"/>
    </w:rPr>
  </w:style>
  <w:style w:type="paragraph" w:styleId="671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72">
    <w:name w:val="Heading 1"/>
    <w:basedOn w:val="671"/>
    <w:next w:val="671"/>
    <w:link w:val="69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70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7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7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70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7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7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70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1 Char"/>
    <w:basedOn w:val="681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Heading 2 Char"/>
    <w:basedOn w:val="681"/>
    <w:uiPriority w:val="9"/>
    <w:rPr>
      <w:rFonts w:ascii="Arial" w:hAnsi="Arial" w:eastAsia="Arial" w:cs="Arial"/>
      <w:sz w:val="34"/>
    </w:rPr>
  </w:style>
  <w:style w:type="character" w:styleId="686" w:customStyle="1">
    <w:name w:val="Heading 3 Char"/>
    <w:basedOn w:val="681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basedOn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81"/>
    <w:uiPriority w:val="10"/>
    <w:rPr>
      <w:sz w:val="48"/>
      <w:szCs w:val="48"/>
    </w:rPr>
  </w:style>
  <w:style w:type="character" w:styleId="694" w:customStyle="1">
    <w:name w:val="Subtitle Char"/>
    <w:basedOn w:val="681"/>
    <w:uiPriority w:val="11"/>
    <w:rPr>
      <w:sz w:val="24"/>
      <w:szCs w:val="24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Footnote Text Char"/>
    <w:uiPriority w:val="99"/>
    <w:rPr>
      <w:sz w:val="18"/>
    </w:rPr>
  </w:style>
  <w:style w:type="character" w:styleId="698" w:customStyle="1">
    <w:name w:val="Endnote Text Char"/>
    <w:uiPriority w:val="99"/>
    <w:rPr>
      <w:sz w:val="20"/>
    </w:rPr>
  </w:style>
  <w:style w:type="character" w:styleId="699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701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671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rPr>
      <w:lang w:eastAsia="zh-CN"/>
    </w:rPr>
  </w:style>
  <w:style w:type="paragraph" w:styleId="710">
    <w:name w:val="Title"/>
    <w:basedOn w:val="671"/>
    <w:next w:val="671"/>
    <w:link w:val="711"/>
    <w:uiPriority w:val="10"/>
    <w:qFormat/>
    <w:pPr>
      <w:contextualSpacing/>
      <w:spacing w:before="300"/>
    </w:pPr>
    <w:rPr>
      <w:sz w:val="48"/>
      <w:szCs w:val="48"/>
    </w:rPr>
  </w:style>
  <w:style w:type="character" w:styleId="711" w:customStyle="1">
    <w:name w:val="Название Знак"/>
    <w:link w:val="710"/>
    <w:uiPriority w:val="10"/>
    <w:rPr>
      <w:sz w:val="48"/>
      <w:szCs w:val="48"/>
    </w:rPr>
  </w:style>
  <w:style w:type="paragraph" w:styleId="712">
    <w:name w:val="Subtitle"/>
    <w:basedOn w:val="671"/>
    <w:next w:val="671"/>
    <w:link w:val="713"/>
    <w:uiPriority w:val="11"/>
    <w:qFormat/>
    <w:pPr>
      <w:spacing w:before="200"/>
    </w:pPr>
    <w:rPr>
      <w:sz w:val="24"/>
      <w:szCs w:val="24"/>
    </w:rPr>
  </w:style>
  <w:style w:type="character" w:styleId="713" w:customStyle="1">
    <w:name w:val="Подзаголовок Знак"/>
    <w:link w:val="712"/>
    <w:uiPriority w:val="11"/>
    <w:rPr>
      <w:sz w:val="24"/>
      <w:szCs w:val="24"/>
    </w:rPr>
  </w:style>
  <w:style w:type="paragraph" w:styleId="714">
    <w:name w:val="Quote"/>
    <w:basedOn w:val="671"/>
    <w:next w:val="671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71"/>
    <w:next w:val="671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71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9" w:customStyle="1">
    <w:name w:val="Header Char"/>
    <w:uiPriority w:val="99"/>
  </w:style>
  <w:style w:type="paragraph" w:styleId="720">
    <w:name w:val="Footer"/>
    <w:basedOn w:val="671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1" w:customStyle="1">
    <w:name w:val="Footer Char"/>
    <w:uiPriority w:val="99"/>
  </w:style>
  <w:style w:type="paragraph" w:styleId="722">
    <w:name w:val="Caption"/>
    <w:basedOn w:val="671"/>
    <w:next w:val="671"/>
    <w:link w:val="723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3" w:customStyle="1">
    <w:name w:val="Название объекта Знак"/>
    <w:link w:val="722"/>
    <w:uiPriority w:val="99"/>
  </w:style>
  <w:style w:type="table" w:styleId="724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0">
    <w:name w:val="Hyperlink"/>
    <w:uiPriority w:val="99"/>
    <w:unhideWhenUsed/>
    <w:rPr>
      <w:color w:val="0000ff"/>
      <w:u w:val="single"/>
    </w:rPr>
  </w:style>
  <w:style w:type="paragraph" w:styleId="851">
    <w:name w:val="footnote text"/>
    <w:basedOn w:val="6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6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671"/>
    <w:next w:val="671"/>
    <w:uiPriority w:val="39"/>
    <w:unhideWhenUsed/>
    <w:pPr>
      <w:spacing w:after="57"/>
    </w:pPr>
  </w:style>
  <w:style w:type="paragraph" w:styleId="858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59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60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61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62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63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64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65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  <w:rPr>
      <w:lang w:eastAsia="zh-CN"/>
    </w:rPr>
  </w:style>
  <w:style w:type="paragraph" w:styleId="867">
    <w:name w:val="table of figures"/>
    <w:basedOn w:val="671"/>
    <w:next w:val="671"/>
    <w:uiPriority w:val="99"/>
    <w:unhideWhenUsed/>
    <w:pPr>
      <w:spacing w:after="0"/>
    </w:pPr>
  </w:style>
  <w:style w:type="paragraph" w:styleId="868">
    <w:name w:val="Body Text"/>
    <w:basedOn w:val="671"/>
    <w:link w:val="869"/>
    <w:pPr>
      <w:spacing w:before="28" w:after="0" w:line="254" w:lineRule="exact"/>
    </w:pPr>
    <w:rPr>
      <w:rFonts w:ascii="Times New Roman" w:hAnsi="Times New Roman"/>
      <w:sz w:val="24"/>
    </w:rPr>
  </w:style>
  <w:style w:type="character" w:styleId="869" w:customStyle="1">
    <w:name w:val="Основной текст Знак"/>
    <w:link w:val="868"/>
    <w:rPr>
      <w:rFonts w:ascii="Times New Roman" w:hAnsi="Times New Roman" w:eastAsia="Times New Roman" w:cs="Times New Roman"/>
      <w:sz w:val="24"/>
    </w:rPr>
  </w:style>
  <w:style w:type="paragraph" w:styleId="870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  <w:style w:type="paragraph" w:styleId="871">
    <w:name w:val="annotation text"/>
    <w:basedOn w:val="671"/>
    <w:link w:val="872"/>
    <w:pPr>
      <w:ind w:firstLine="539"/>
      <w:jc w:val="both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872" w:customStyle="1">
    <w:name w:val="Текст примечания Знак"/>
    <w:link w:val="871"/>
    <w:rPr>
      <w:rFonts w:ascii="Times New Roman" w:hAnsi="Times New Roman" w:eastAsia="Times New Roman" w:cs="Times New Roman"/>
      <w:sz w:val="20"/>
      <w:szCs w:val="20"/>
    </w:rPr>
  </w:style>
  <w:style w:type="character" w:styleId="873" w:customStyle="1">
    <w:name w:val="Верхний колонтитул Знак"/>
    <w:link w:val="718"/>
    <w:uiPriority w:val="99"/>
    <w:rPr>
      <w:sz w:val="22"/>
      <w:szCs w:val="22"/>
    </w:rPr>
  </w:style>
  <w:style w:type="character" w:styleId="874" w:customStyle="1">
    <w:name w:val="Нижний колонтитул Знак"/>
    <w:link w:val="720"/>
    <w:uiPriority w:val="99"/>
    <w:rPr>
      <w:sz w:val="22"/>
      <w:szCs w:val="22"/>
    </w:rPr>
  </w:style>
  <w:style w:type="paragraph" w:styleId="875">
    <w:name w:val="Balloon Text"/>
    <w:basedOn w:val="671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link w:val="87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482550&amp;dst=100019&amp;field=134&amp;date=14.01.2025" TargetMode="External"/><Relationship Id="rId10" Type="http://schemas.openxmlformats.org/officeDocument/2006/relationships/hyperlink" Target="https://login.consultant.ru/link/?req=doc&amp;base=LAW&amp;n=482550&amp;dst=100010&amp;field=134&amp;date=14.01.2025" TargetMode="External"/><Relationship Id="rId11" Type="http://schemas.openxmlformats.org/officeDocument/2006/relationships/hyperlink" Target="https://login.consultant.ru/link/?req=doc&amp;base=LAW&amp;n=482550&amp;dst=100015&amp;field=134&amp;date=14.0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Министерство финансов и экономики РХ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</dc:creator>
  <cp:lastModifiedBy>user</cp:lastModifiedBy>
  <cp:revision>3</cp:revision>
  <dcterms:created xsi:type="dcterms:W3CDTF">2025-04-15T04:44:00Z</dcterms:created>
  <dcterms:modified xsi:type="dcterms:W3CDTF">2025-04-16T03:40:06Z</dcterms:modified>
  <cp:version>917504</cp:version>
</cp:coreProperties>
</file>